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bookmarkStart w:id="0" w:name="bookmark1"/>
      <w:r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КЪЭБЭРДЕЙ-БАЛЪКЪЭР </w:t>
      </w:r>
      <w:proofErr w:type="gramStart"/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РЕСПУБЛИКЭМ  И</w:t>
      </w:r>
      <w:proofErr w:type="gramEnd"/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ТЭРЧ  КУЕЙМ</w:t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ХЫХЬЭ КЪУАЖЭ Т1ЫСЫП1Э УРОЖАЙНЭИ ДЭТ МУНИЦИПАЛЬНЭ КАЗЕННЭ ПСОМИ </w:t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Щ1ЭНЫГЪЭ ЩРАГЪЭГЪУЭТ М.Х. БЭРЭГЪУН И Ц1ЭР ЗЕЗЫХЬЭ КУРЫТ ЕДЖАП1Э</w:t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КЪАБАРТЫ-МАЛКЪАР РЕСПУБЛИКАНЫ ТЕРК МУНИЦИПАЛ РАЙОНУНУ</w:t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УРОЖАЙНЫ ЭЛ ПОСЕЛЕНИЯСЫНЫ М.Х. БАРАГУНОВ </w:t>
      </w:r>
      <w:proofErr w:type="gramStart"/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АТЛЫ  ОРТА</w:t>
      </w:r>
      <w:proofErr w:type="gramEnd"/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БИЛИМ БЕРГЕН </w:t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МУНИЦИПАЛ КАЗЕННА ОКЪУУ УЧРЕЖДЕНИЯСЫ.</w:t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>МУНИЦИПАЛЬНОЕ  КАЗЕННОЕ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ОБЩЕОБРАЗОВАТЕЛЬНОЕ УЧРЕЖДЕНИЕ</w:t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«СРЕДНЯЯ ОБЩЕОБРАЗОВАТЕЛЬНАЯ ШКОЛА им. М.Х. БАРАГУНОВА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>с.п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. УРОЖАЙНОЕ» </w:t>
      </w:r>
    </w:p>
    <w:p w:rsidR="00DC270D" w:rsidRDefault="00DC270D" w:rsidP="00DC2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ТЕРСКОГО 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>МУНИЦИПАЛЬНОГО  РАЙОНА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КАБАРДИНО-БАЛКАРСКОЙ РЕСПУБЛИКИ</w:t>
      </w:r>
      <w:r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.</w:t>
      </w: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DC270D" w:rsidTr="00DC270D">
        <w:trPr>
          <w:trHeight w:val="100"/>
        </w:trPr>
        <w:tc>
          <w:tcPr>
            <w:tcW w:w="1034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C270D" w:rsidRDefault="00DC270D">
            <w:pPr>
              <w:widowControl w:val="0"/>
              <w:pBdr>
                <w:top w:val="doub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361215,  КБР, Терский район, 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с.п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Урожайное, ул.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Барагунова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22.     тел. 8 (86632) 95-5-88     </w:t>
            </w:r>
            <w:r w:rsid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fldChar w:fldCharType="begin"/>
            </w:r>
            <w:r w:rsidR="009943C7" w:rsidRP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instrText xml:space="preserve"> </w:instrText>
            </w:r>
            <w:r w:rsid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instrText>HYPERLINK</w:instrText>
            </w:r>
            <w:r w:rsidR="009943C7" w:rsidRP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instrText xml:space="preserve"> "</w:instrText>
            </w:r>
            <w:r w:rsid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instrText>mailto</w:instrText>
            </w:r>
            <w:r w:rsidR="009943C7" w:rsidRP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instrText>:</w:instrText>
            </w:r>
            <w:r w:rsid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instrText>urogaynoye</w:instrText>
            </w:r>
            <w:r w:rsidR="009943C7" w:rsidRP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instrText>@</w:instrText>
            </w:r>
            <w:r w:rsid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instrText>mail</w:instrText>
            </w:r>
            <w:r w:rsidR="009943C7" w:rsidRP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instrText>.</w:instrText>
            </w:r>
            <w:r w:rsid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instrText>ru</w:instrText>
            </w:r>
            <w:r w:rsidR="009943C7" w:rsidRP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instrText xml:space="preserve">" </w:instrText>
            </w:r>
            <w:r w:rsid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urogaynoye</w:t>
            </w:r>
            <w:r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@</w:t>
            </w:r>
            <w:r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mail</w:t>
            </w:r>
            <w:r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ru</w:t>
            </w:r>
            <w:proofErr w:type="spellEnd"/>
            <w:r w:rsidR="009943C7">
              <w:rPr>
                <w:rStyle w:val="a5"/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DC270D" w:rsidRDefault="00086FA7" w:rsidP="00DC270D">
      <w:pPr>
        <w:tabs>
          <w:tab w:val="left" w:pos="3795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Исх.№</w:t>
      </w:r>
      <w:r w:rsidR="00DC270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bookmarkStart w:id="1" w:name="_GoBack"/>
      <w:bookmarkEnd w:id="1"/>
      <w:r w:rsidR="00DC270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9943C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.06</w:t>
      </w:r>
      <w:r w:rsidR="00DC270D">
        <w:rPr>
          <w:rFonts w:ascii="Times New Roman" w:eastAsia="Times New Roman" w:hAnsi="Times New Roman" w:cs="Times New Roman"/>
          <w:sz w:val="26"/>
          <w:szCs w:val="26"/>
        </w:rPr>
        <w:t>.2025г.</w:t>
      </w:r>
    </w:p>
    <w:p w:rsidR="00DC270D" w:rsidRDefault="00DC270D" w:rsidP="00DC27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bookmarkEnd w:id="0"/>
    </w:p>
    <w:p w:rsidR="00DC270D" w:rsidRDefault="00DC270D" w:rsidP="00DC270D">
      <w:pPr>
        <w:pStyle w:val="a4"/>
        <w:numPr>
          <w:ilvl w:val="1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Результаты освоения </w:t>
      </w:r>
      <w:proofErr w:type="gramStart"/>
      <w:r>
        <w:rPr>
          <w:rFonts w:ascii="Times New Roman" w:hAnsi="Times New Roman"/>
          <w:b/>
          <w:sz w:val="26"/>
          <w:szCs w:val="26"/>
        </w:rPr>
        <w:t>воспитанниками  образовательных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программ и показатели динамики их достижений по итогам мониторингов и иных форм контроля, проводимых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МКОУ СОШ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им.М.Х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Барагунова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с.п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Урожайное ДО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воспитателя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Хатуховой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Нины Михайловны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C270D" w:rsidRPr="00DC270D" w:rsidRDefault="00DC270D" w:rsidP="00DC270D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14"/>
        <w:gridCol w:w="1115"/>
        <w:gridCol w:w="1114"/>
        <w:gridCol w:w="1115"/>
        <w:gridCol w:w="1114"/>
        <w:gridCol w:w="1115"/>
        <w:gridCol w:w="1114"/>
        <w:gridCol w:w="1115"/>
      </w:tblGrid>
      <w:tr w:rsidR="00DC270D" w:rsidTr="00DC270D"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2022-2023 Учебный год</w:t>
            </w: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2023-2024 Учебный год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2024-2025 Учебный год</w:t>
            </w:r>
          </w:p>
        </w:tc>
      </w:tr>
      <w:tr w:rsidR="00DC270D" w:rsidTr="00DC270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воспитанников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воспитанников со средними и высокими показателями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воспитанников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воспитанников со средними и высокими показателями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воспитанников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воспитанников со средними и высокими показателями</w:t>
            </w:r>
          </w:p>
        </w:tc>
      </w:tr>
      <w:tr w:rsidR="00DC270D" w:rsidTr="00DC270D"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Социально-коммуникативное развитие</w:t>
            </w:r>
          </w:p>
        </w:tc>
      </w:tr>
      <w:tr w:rsidR="00DC270D" w:rsidTr="00DC270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Ср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77%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Ст.гр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4871E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79</w:t>
            </w:r>
            <w:r w:rsidR="00DC270D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Подг.гр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D" w:rsidRDefault="004871E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  <w:t>81</w:t>
            </w:r>
            <w:r w:rsidR="00DC270D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  <w:t>%</w:t>
            </w:r>
          </w:p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</w:p>
        </w:tc>
      </w:tr>
      <w:tr w:rsidR="00DC270D" w:rsidTr="00DC270D"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</w:tr>
      <w:tr w:rsidR="00DC270D" w:rsidTr="00DC270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Ср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75%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Ст.гр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76%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Подг.гр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D" w:rsidRDefault="004871E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  <w:t>79</w:t>
            </w:r>
            <w:r w:rsidR="00DC270D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  <w:t>%</w:t>
            </w:r>
          </w:p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</w:p>
        </w:tc>
      </w:tr>
      <w:tr w:rsidR="00DC270D" w:rsidTr="00DC270D"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</w:t>
            </w:r>
          </w:p>
        </w:tc>
      </w:tr>
      <w:tr w:rsidR="00DC270D" w:rsidTr="00DC270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Ср.гр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75%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Ст.гр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75%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Подг.гр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D" w:rsidRDefault="004871E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  <w:t>78</w:t>
            </w:r>
            <w:r w:rsidR="00DC270D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  <w:t>%</w:t>
            </w:r>
          </w:p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</w:p>
        </w:tc>
      </w:tr>
      <w:tr w:rsidR="00DC270D" w:rsidTr="00DC270D"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Художественно-эстетическое развитие</w:t>
            </w:r>
          </w:p>
        </w:tc>
      </w:tr>
      <w:tr w:rsidR="00DC270D" w:rsidTr="00DC270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Ср.гр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75%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Ст.гр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 w:bidi="ru-RU"/>
              </w:rPr>
              <w:t>76%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Подг.гр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D" w:rsidRDefault="004871E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  <w:t>79</w:t>
            </w:r>
            <w:r w:rsidR="00DC270D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  <w:t>%</w:t>
            </w:r>
          </w:p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6"/>
                <w:szCs w:val="26"/>
                <w:lang w:eastAsia="ru-RU" w:bidi="ru-RU"/>
              </w:rPr>
            </w:pPr>
          </w:p>
        </w:tc>
      </w:tr>
      <w:tr w:rsidR="00DC270D" w:rsidTr="00DC270D"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70D" w:rsidRDefault="00DC27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</w:tc>
      </w:tr>
      <w:tr w:rsidR="00DC270D" w:rsidTr="00DC270D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Ср.гр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76%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Ст.гр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77%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Подг.гр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6"/>
                <w:szCs w:val="26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D" w:rsidRDefault="004871EB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shd w:val="clear" w:color="auto" w:fill="FFFFFF"/>
                <w:lang w:eastAsia="ru-RU" w:bidi="ru-RU"/>
              </w:rPr>
              <w:t>80</w:t>
            </w:r>
            <w:r w:rsidR="00DC270D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shd w:val="clear" w:color="auto" w:fill="FFFFFF"/>
                <w:lang w:eastAsia="ru-RU" w:bidi="ru-RU"/>
              </w:rPr>
              <w:t>%</w:t>
            </w:r>
          </w:p>
          <w:p w:rsidR="00DC270D" w:rsidRDefault="00DC270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6"/>
                <w:szCs w:val="26"/>
              </w:rPr>
            </w:pPr>
          </w:p>
        </w:tc>
      </w:tr>
    </w:tbl>
    <w:p w:rsidR="00DC270D" w:rsidRDefault="00DC270D" w:rsidP="00DC2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C270D" w:rsidRDefault="00DC270D" w:rsidP="00DC2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C270D" w:rsidRDefault="00DC270D" w:rsidP="00DC2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общего результата мониторинга по освоению программного материала по всем образовательным областям, дети в основном показали средний уровень развития. В целом реализация образовательных областей находится на достаточном уровне, однако, предпосылки к повышению уровня детей существуют. Достижению таких результатов способствовало использование разнообразных форм работы, как с детьми, так и с родителями. Выявлены проблемы индивидуального развития каждого ребенка, в соответствии с которыми нужно продолжать формировать навыки и умения. В итоге представленных данных мониторингового обследования видно, что у детей к школе сформированы познавательные интересы, они выговаривают все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звуки  языка</w:t>
      </w:r>
      <w:proofErr w:type="gramEnd"/>
      <w:r>
        <w:rPr>
          <w:rFonts w:ascii="Times New Roman" w:hAnsi="Times New Roman" w:cs="Times New Roman"/>
          <w:sz w:val="26"/>
          <w:szCs w:val="26"/>
        </w:rPr>
        <w:t>, сформирован грамматический строй речи. Они умеют договариваться, находить выход из конфликтных ситуаций. Преобладает высокий уровень достижения планируемых результатов освоения основной общеобразовательной программы.</w:t>
      </w:r>
    </w:p>
    <w:p w:rsidR="00DC270D" w:rsidRDefault="00DC270D" w:rsidP="00DC2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 По результатам освоения образовательных областей в целом можно сделать вывод, что уровень организации образовательного процесса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МКОУ СОШ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им.М.Х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Барагунова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с.п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Урожайное ДО </w:t>
      </w:r>
      <w:r>
        <w:rPr>
          <w:rFonts w:ascii="Times New Roman" w:hAnsi="Times New Roman" w:cs="Times New Roman"/>
          <w:sz w:val="26"/>
          <w:szCs w:val="26"/>
        </w:rPr>
        <w:t xml:space="preserve">– выше среднего и высокий по отдельным образовательным областям благодаря стабильной, целенаправленной работе педагогического коллектива. Для улучшения показателей физического развития детей в детском саду проводились оздоровительные мероприятия, спортивные праздники и досуги. Для улучшения показателей социально-коммуникативного развития детей педагоги проводят индивидуальную работу с детьми, разрабатывают дидактические игры. Для улучшения показателей по познавательному и речевому развитию педагоги в работе с детьми используют различные методы и приемы. Для улучшения художественно-эстетического развития детей, педагогами проводится индивидуальная работа с детьми, пополняется предметная среда в группах новыми атрибутами и дидактическими играми. </w:t>
      </w:r>
    </w:p>
    <w:p w:rsidR="00DC270D" w:rsidRDefault="00DC270D" w:rsidP="00DC270D">
      <w:pPr>
        <w:pStyle w:val="a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Выводы:</w:t>
      </w:r>
      <w:r>
        <w:rPr>
          <w:rFonts w:ascii="Times New Roman" w:hAnsi="Times New Roman" w:cs="Times New Roman"/>
          <w:sz w:val="26"/>
          <w:szCs w:val="26"/>
        </w:rPr>
        <w:t xml:space="preserve"> Результаты мониторинга уровня овладения образовательными областями являются удовлетворительными. Педагоги обеспечивают реализацию основной образовательной программы ДО на достаточном уровне. 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непрерывной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DC270D" w:rsidRDefault="00DC270D" w:rsidP="00DC2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70D" w:rsidRDefault="00DC270D" w:rsidP="00DC27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DC270D" w:rsidRDefault="00DC270D" w:rsidP="00DC2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с.п.Урожайное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Э.С.Гучакова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C270D" w:rsidRDefault="00DC270D" w:rsidP="00DC270D">
      <w:pPr>
        <w:pStyle w:val="a4"/>
      </w:pPr>
    </w:p>
    <w:p w:rsidR="00DC270D" w:rsidRDefault="00DC270D" w:rsidP="00DC2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2AD" w:rsidRDefault="002222AD"/>
    <w:sectPr w:rsidR="0022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53AA"/>
    <w:multiLevelType w:val="multilevel"/>
    <w:tmpl w:val="D540ABE4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D"/>
    <w:rsid w:val="00086FA7"/>
    <w:rsid w:val="002222AD"/>
    <w:rsid w:val="004871EB"/>
    <w:rsid w:val="009943C7"/>
    <w:rsid w:val="00D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A411"/>
  <w15:chartTrackingRefBased/>
  <w15:docId w15:val="{DC74FE5F-C851-45D4-A58A-73C5238C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270D"/>
  </w:style>
  <w:style w:type="paragraph" w:styleId="a4">
    <w:name w:val="No Spacing"/>
    <w:link w:val="a3"/>
    <w:uiPriority w:val="1"/>
    <w:qFormat/>
    <w:rsid w:val="00DC270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C2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2025-06-04T14:12:00Z</dcterms:created>
  <dcterms:modified xsi:type="dcterms:W3CDTF">2025-06-05T07:00:00Z</dcterms:modified>
</cp:coreProperties>
</file>